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tabs>
          <w:tab w:pos="7288" w:val="left" w:leader="none"/>
        </w:tabs>
        <w:spacing w:line="240" w:lineRule="auto"/>
        <w:ind w:left="140" w:right="-29" w:firstLine="0"/>
        <w:rPr>
          <w:rFonts w:ascii="Times New Roman"/>
          <w:position w:val="94"/>
          <w:sz w:val="20"/>
        </w:rPr>
      </w:pPr>
      <w:r>
        <w:rPr>
          <w:rFonts w:ascii="Times New Roman"/>
          <w:sz w:val="20"/>
        </w:rPr>
        <w:drawing>
          <wp:inline distT="0" distB="0" distL="0" distR="0">
            <wp:extent cx="2346432" cy="989171"/>
            <wp:effectExtent l="0" t="0" r="0" b="0"/>
            <wp:docPr id="1" name="Image 1"/>
            <wp:cNvGraphicFramePr>
              <a:graphicFrameLocks/>
            </wp:cNvGraphicFramePr>
            <a:graphic>
              <a:graphicData uri="http://schemas.openxmlformats.org/drawingml/2006/picture">
                <pic:pic>
                  <pic:nvPicPr>
                    <pic:cNvPr id="1" name="Image 1"/>
                    <pic:cNvPicPr/>
                  </pic:nvPicPr>
                  <pic:blipFill>
                    <a:blip r:embed="rId5" cstate="print"/>
                    <a:stretch>
                      <a:fillRect/>
                    </a:stretch>
                  </pic:blipFill>
                  <pic:spPr>
                    <a:xfrm>
                      <a:off x="0" y="0"/>
                      <a:ext cx="2346432" cy="989171"/>
                    </a:xfrm>
                    <a:prstGeom prst="rect">
                      <a:avLst/>
                    </a:prstGeom>
                  </pic:spPr>
                </pic:pic>
              </a:graphicData>
            </a:graphic>
          </wp:inline>
        </w:drawing>
      </w:r>
      <w:r>
        <w:rPr>
          <w:rFonts w:ascii="Times New Roman"/>
          <w:sz w:val="20"/>
        </w:rPr>
      </w:r>
      <w:r>
        <w:rPr>
          <w:rFonts w:ascii="Times New Roman"/>
          <w:sz w:val="20"/>
        </w:rPr>
        <w:tab/>
      </w:r>
      <w:r>
        <w:rPr>
          <w:rFonts w:ascii="Times New Roman"/>
          <w:position w:val="94"/>
          <w:sz w:val="20"/>
        </w:rPr>
        <mc:AlternateContent>
          <mc:Choice Requires="wps">
            <w:drawing>
              <wp:inline distT="0" distB="0" distL="0" distR="0">
                <wp:extent cx="2197100" cy="635635"/>
                <wp:effectExtent l="0" t="0" r="0" b="0"/>
                <wp:docPr id="2" name="Textbox 2"/>
                <wp:cNvGraphicFramePr>
                  <a:graphicFrameLocks/>
                </wp:cNvGraphicFramePr>
                <a:graphic>
                  <a:graphicData uri="http://schemas.microsoft.com/office/word/2010/wordprocessingShape">
                    <wps:wsp>
                      <wps:cNvPr id="2" name="Textbox 2"/>
                      <wps:cNvSpPr txBox="1"/>
                      <wps:spPr>
                        <a:xfrm>
                          <a:off x="0" y="0"/>
                          <a:ext cx="2197100" cy="635635"/>
                        </a:xfrm>
                        <a:prstGeom prst="rect">
                          <a:avLst/>
                        </a:prstGeom>
                      </wps:spPr>
                      <wps:txbx>
                        <w:txbxContent>
                          <w:tbl>
                            <w:tblPr>
                              <w:tblW w:w="0" w:type="auto"/>
                              <w:jc w:val="left"/>
                              <w:tblInd w:w="10"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ayout w:type="fixed"/>
                              <w:tblCellMar>
                                <w:top w:w="0" w:type="dxa"/>
                                <w:left w:w="0" w:type="dxa"/>
                                <w:bottom w:w="0" w:type="dxa"/>
                                <w:right w:w="0" w:type="dxa"/>
                              </w:tblCellMar>
                              <w:tblLook w:val="01E0"/>
                            </w:tblPr>
                            <w:tblGrid>
                              <w:gridCol w:w="3151"/>
                              <w:gridCol w:w="289"/>
                            </w:tblGrid>
                            <w:tr>
                              <w:trPr>
                                <w:trHeight w:val="409" w:hRule="atLeast"/>
                              </w:trPr>
                              <w:tc>
                                <w:tcPr>
                                  <w:tcW w:w="3151" w:type="dxa"/>
                                </w:tcPr>
                                <w:p>
                                  <w:pPr>
                                    <w:pStyle w:val="TableParagraph"/>
                                    <w:spacing w:line="180" w:lineRule="atLeast" w:before="27"/>
                                    <w:ind w:right="518"/>
                                    <w:rPr>
                                      <w:sz w:val="16"/>
                                    </w:rPr>
                                  </w:pPr>
                                  <w:r>
                                    <w:rPr>
                                      <w:color w:val="0000FF"/>
                                      <w:sz w:val="16"/>
                                    </w:rPr>
                                    <w:t>COMUNE DI FERRARA PROTOCOLLO</w:t>
                                  </w:r>
                                  <w:r>
                                    <w:rPr>
                                      <w:color w:val="0000FF"/>
                                      <w:spacing w:val="-26"/>
                                      <w:sz w:val="16"/>
                                    </w:rPr>
                                    <w:t> </w:t>
                                  </w:r>
                                  <w:r>
                                    <w:rPr>
                                      <w:color w:val="0000FF"/>
                                      <w:sz w:val="16"/>
                                    </w:rPr>
                                    <w:t>GENERALE</w:t>
                                  </w:r>
                                </w:p>
                              </w:tc>
                              <w:tc>
                                <w:tcPr>
                                  <w:tcW w:w="289" w:type="dxa"/>
                                </w:tcPr>
                                <w:p>
                                  <w:pPr>
                                    <w:pStyle w:val="TableParagraph"/>
                                    <w:spacing w:before="19"/>
                                    <w:ind w:left="100"/>
                                    <w:rPr>
                                      <w:rFonts w:ascii="Arial"/>
                                      <w:b/>
                                      <w:sz w:val="32"/>
                                    </w:rPr>
                                  </w:pPr>
                                  <w:r>
                                    <w:rPr>
                                      <w:rFonts w:ascii="Arial"/>
                                      <w:b/>
                                      <w:color w:val="0000FF"/>
                                      <w:spacing w:val="-10"/>
                                      <w:sz w:val="32"/>
                                    </w:rPr>
                                    <w:t>I</w:t>
                                  </w:r>
                                </w:p>
                              </w:tc>
                            </w:tr>
                            <w:tr>
                              <w:trPr>
                                <w:trHeight w:val="163" w:hRule="atLeast"/>
                              </w:trPr>
                              <w:tc>
                                <w:tcPr>
                                  <w:tcW w:w="3440" w:type="dxa"/>
                                  <w:gridSpan w:val="2"/>
                                </w:tcPr>
                                <w:p>
                                  <w:pPr>
                                    <w:pStyle w:val="TableParagraph"/>
                                    <w:spacing w:line="129" w:lineRule="exact"/>
                                    <w:ind w:left="166"/>
                                    <w:rPr>
                                      <w:b/>
                                      <w:sz w:val="14"/>
                                    </w:rPr>
                                  </w:pPr>
                                  <w:r>
                                    <w:rPr>
                                      <w:b/>
                                      <w:color w:val="0000FF"/>
                                      <w:sz w:val="14"/>
                                    </w:rPr>
                                    <w:t>COPIA CARTACEA DI ORIGINALE </w:t>
                                  </w:r>
                                  <w:r>
                                    <w:rPr>
                                      <w:b/>
                                      <w:color w:val="0000FF"/>
                                      <w:spacing w:val="-2"/>
                                      <w:sz w:val="14"/>
                                    </w:rPr>
                                    <w:t>ANALOGICO</w:t>
                                  </w:r>
                                </w:p>
                              </w:tc>
                            </w:tr>
                            <w:tr>
                              <w:trPr>
                                <w:trHeight w:val="346" w:hRule="atLeast"/>
                              </w:trPr>
                              <w:tc>
                                <w:tcPr>
                                  <w:tcW w:w="3440" w:type="dxa"/>
                                  <w:gridSpan w:val="2"/>
                                </w:tcPr>
                                <w:p>
                                  <w:pPr>
                                    <w:pStyle w:val="TableParagraph"/>
                                    <w:spacing w:before="17"/>
                                    <w:rPr>
                                      <w:sz w:val="16"/>
                                    </w:rPr>
                                  </w:pPr>
                                  <w:r>
                                    <w:rPr>
                                      <w:color w:val="0000FF"/>
                                      <w:sz w:val="16"/>
                                    </w:rPr>
                                    <w:t>Protocollo N.0199767 del </w:t>
                                  </w:r>
                                  <w:r>
                                    <w:rPr>
                                      <w:color w:val="0000FF"/>
                                      <w:spacing w:val="-2"/>
                                      <w:sz w:val="16"/>
                                    </w:rPr>
                                    <w:t>27/10/2025</w:t>
                                  </w:r>
                                </w:p>
                              </w:tc>
                            </w:tr>
                          </w:tbl>
                          <w:p>
                            <w:pPr>
                              <w:pStyle w:val="BodyText"/>
                            </w:pPr>
                          </w:p>
                        </w:txbxContent>
                      </wps:txbx>
                      <wps:bodyPr wrap="square" lIns="0" tIns="0" rIns="0" bIns="0" rtlCol="0">
                        <a:noAutofit/>
                      </wps:bodyPr>
                    </wps:wsp>
                  </a:graphicData>
                </a:graphic>
              </wp:inline>
            </w:drawing>
          </mc:Choice>
          <mc:Fallback>
            <w:pict>
              <v:shapetype id="_x0000_t202" o:spt="202" coordsize="21600,21600" path="m,l,21600r21600,l21600,xe">
                <v:stroke joinstyle="miter"/>
                <v:path gradientshapeok="t" o:connecttype="rect"/>
              </v:shapetype>
              <v:shape style="width:173pt;height:50.05pt;mso-position-horizontal-relative:char;mso-position-vertical-relative:line" type="#_x0000_t202" id="docshape1" filled="false" stroked="false">
                <w10:anchorlock/>
                <v:textbox inset="0,0,0,0">
                  <w:txbxContent>
                    <w:tbl>
                      <w:tblPr>
                        <w:tblW w:w="0" w:type="auto"/>
                        <w:jc w:val="left"/>
                        <w:tblInd w:w="10" w:type="dxa"/>
                        <w:tblBorders>
                          <w:top w:val="single" w:sz="8" w:space="0" w:color="0000FF"/>
                          <w:left w:val="single" w:sz="8" w:space="0" w:color="0000FF"/>
                          <w:bottom w:val="single" w:sz="8" w:space="0" w:color="0000FF"/>
                          <w:right w:val="single" w:sz="8" w:space="0" w:color="0000FF"/>
                          <w:insideH w:val="single" w:sz="8" w:space="0" w:color="0000FF"/>
                          <w:insideV w:val="single" w:sz="8" w:space="0" w:color="0000FF"/>
                        </w:tblBorders>
                        <w:tblLayout w:type="fixed"/>
                        <w:tblCellMar>
                          <w:top w:w="0" w:type="dxa"/>
                          <w:left w:w="0" w:type="dxa"/>
                          <w:bottom w:w="0" w:type="dxa"/>
                          <w:right w:w="0" w:type="dxa"/>
                        </w:tblCellMar>
                        <w:tblLook w:val="01E0"/>
                      </w:tblPr>
                      <w:tblGrid>
                        <w:gridCol w:w="3151"/>
                        <w:gridCol w:w="289"/>
                      </w:tblGrid>
                      <w:tr>
                        <w:trPr>
                          <w:trHeight w:val="409" w:hRule="atLeast"/>
                        </w:trPr>
                        <w:tc>
                          <w:tcPr>
                            <w:tcW w:w="3151" w:type="dxa"/>
                          </w:tcPr>
                          <w:p>
                            <w:pPr>
                              <w:pStyle w:val="TableParagraph"/>
                              <w:spacing w:line="180" w:lineRule="atLeast" w:before="27"/>
                              <w:ind w:right="518"/>
                              <w:rPr>
                                <w:sz w:val="16"/>
                              </w:rPr>
                            </w:pPr>
                            <w:r>
                              <w:rPr>
                                <w:color w:val="0000FF"/>
                                <w:sz w:val="16"/>
                              </w:rPr>
                              <w:t>COMUNE DI FERRARA PROTOCOLLO</w:t>
                            </w:r>
                            <w:r>
                              <w:rPr>
                                <w:color w:val="0000FF"/>
                                <w:spacing w:val="-26"/>
                                <w:sz w:val="16"/>
                              </w:rPr>
                              <w:t> </w:t>
                            </w:r>
                            <w:r>
                              <w:rPr>
                                <w:color w:val="0000FF"/>
                                <w:sz w:val="16"/>
                              </w:rPr>
                              <w:t>GENERALE</w:t>
                            </w:r>
                          </w:p>
                        </w:tc>
                        <w:tc>
                          <w:tcPr>
                            <w:tcW w:w="289" w:type="dxa"/>
                          </w:tcPr>
                          <w:p>
                            <w:pPr>
                              <w:pStyle w:val="TableParagraph"/>
                              <w:spacing w:before="19"/>
                              <w:ind w:left="100"/>
                              <w:rPr>
                                <w:rFonts w:ascii="Arial"/>
                                <w:b/>
                                <w:sz w:val="32"/>
                              </w:rPr>
                            </w:pPr>
                            <w:r>
                              <w:rPr>
                                <w:rFonts w:ascii="Arial"/>
                                <w:b/>
                                <w:color w:val="0000FF"/>
                                <w:spacing w:val="-10"/>
                                <w:sz w:val="32"/>
                              </w:rPr>
                              <w:t>I</w:t>
                            </w:r>
                          </w:p>
                        </w:tc>
                      </w:tr>
                      <w:tr>
                        <w:trPr>
                          <w:trHeight w:val="163" w:hRule="atLeast"/>
                        </w:trPr>
                        <w:tc>
                          <w:tcPr>
                            <w:tcW w:w="3440" w:type="dxa"/>
                            <w:gridSpan w:val="2"/>
                          </w:tcPr>
                          <w:p>
                            <w:pPr>
                              <w:pStyle w:val="TableParagraph"/>
                              <w:spacing w:line="129" w:lineRule="exact"/>
                              <w:ind w:left="166"/>
                              <w:rPr>
                                <w:b/>
                                <w:sz w:val="14"/>
                              </w:rPr>
                            </w:pPr>
                            <w:r>
                              <w:rPr>
                                <w:b/>
                                <w:color w:val="0000FF"/>
                                <w:sz w:val="14"/>
                              </w:rPr>
                              <w:t>COPIA CARTACEA DI ORIGINALE </w:t>
                            </w:r>
                            <w:r>
                              <w:rPr>
                                <w:b/>
                                <w:color w:val="0000FF"/>
                                <w:spacing w:val="-2"/>
                                <w:sz w:val="14"/>
                              </w:rPr>
                              <w:t>ANALOGICO</w:t>
                            </w:r>
                          </w:p>
                        </w:tc>
                      </w:tr>
                      <w:tr>
                        <w:trPr>
                          <w:trHeight w:val="346" w:hRule="atLeast"/>
                        </w:trPr>
                        <w:tc>
                          <w:tcPr>
                            <w:tcW w:w="3440" w:type="dxa"/>
                            <w:gridSpan w:val="2"/>
                          </w:tcPr>
                          <w:p>
                            <w:pPr>
                              <w:pStyle w:val="TableParagraph"/>
                              <w:spacing w:before="17"/>
                              <w:rPr>
                                <w:sz w:val="16"/>
                              </w:rPr>
                            </w:pPr>
                            <w:r>
                              <w:rPr>
                                <w:color w:val="0000FF"/>
                                <w:sz w:val="16"/>
                              </w:rPr>
                              <w:t>Protocollo N.0199767 del </w:t>
                            </w:r>
                            <w:r>
                              <w:rPr>
                                <w:color w:val="0000FF"/>
                                <w:spacing w:val="-2"/>
                                <w:sz w:val="16"/>
                              </w:rPr>
                              <w:t>27/10/2025</w:t>
                            </w:r>
                          </w:p>
                        </w:tc>
                      </w:tr>
                    </w:tbl>
                    <w:p>
                      <w:pPr>
                        <w:pStyle w:val="BodyText"/>
                      </w:pPr>
                    </w:p>
                  </w:txbxContent>
                </v:textbox>
              </v:shape>
            </w:pict>
          </mc:Fallback>
        </mc:AlternateContent>
      </w:r>
      <w:r>
        <w:rPr>
          <w:rFonts w:ascii="Times New Roman"/>
          <w:position w:val="94"/>
          <w:sz w:val="20"/>
        </w:rPr>
      </w:r>
    </w:p>
    <w:p>
      <w:pPr>
        <w:pStyle w:val="BodyText"/>
        <w:spacing w:before="17"/>
        <w:rPr>
          <w:rFonts w:ascii="Times New Roman"/>
          <w:sz w:val="22"/>
        </w:rPr>
      </w:pPr>
    </w:p>
    <w:p>
      <w:pPr>
        <w:spacing w:before="0"/>
        <w:ind w:left="0" w:right="1763" w:firstLine="0"/>
        <w:jc w:val="right"/>
        <w:rPr>
          <w:rFonts w:ascii="Times New Roman"/>
          <w:b/>
          <w:i/>
          <w:sz w:val="22"/>
        </w:rPr>
      </w:pPr>
      <w:r>
        <w:rPr>
          <w:rFonts w:ascii="Times New Roman"/>
          <w:b/>
          <w:i/>
          <w:sz w:val="22"/>
        </w:rPr>
        <w:t>Ferrara</w:t>
      </w:r>
      <w:r>
        <w:rPr>
          <w:rFonts w:ascii="Times New Roman"/>
          <w:b/>
          <w:i/>
          <w:spacing w:val="-4"/>
          <w:sz w:val="22"/>
        </w:rPr>
        <w:t> </w:t>
      </w:r>
      <w:r>
        <w:rPr>
          <w:rFonts w:ascii="Times New Roman"/>
          <w:b/>
          <w:i/>
          <w:spacing w:val="-2"/>
          <w:sz w:val="22"/>
        </w:rPr>
        <w:t>27/10/2025</w:t>
      </w:r>
    </w:p>
    <w:p>
      <w:pPr>
        <w:pStyle w:val="BodyText"/>
        <w:rPr>
          <w:rFonts w:ascii="Times New Roman"/>
          <w:b/>
          <w:i/>
          <w:sz w:val="22"/>
        </w:rPr>
      </w:pPr>
    </w:p>
    <w:p>
      <w:pPr>
        <w:pStyle w:val="BodyText"/>
        <w:rPr>
          <w:rFonts w:ascii="Times New Roman"/>
          <w:b/>
          <w:i/>
          <w:sz w:val="22"/>
        </w:rPr>
      </w:pPr>
    </w:p>
    <w:p>
      <w:pPr>
        <w:pStyle w:val="BodyText"/>
        <w:spacing w:before="90"/>
        <w:rPr>
          <w:rFonts w:ascii="Times New Roman"/>
          <w:b/>
          <w:i/>
          <w:sz w:val="22"/>
        </w:rPr>
      </w:pPr>
    </w:p>
    <w:p>
      <w:pPr>
        <w:pStyle w:val="Heading1"/>
        <w:ind w:left="140" w:right="1047"/>
        <w:jc w:val="left"/>
      </w:pPr>
      <w:r>
        <w:rPr/>
        <w:t>Oggetto:</w:t>
      </w:r>
      <w:r>
        <w:rPr>
          <w:spacing w:val="-5"/>
        </w:rPr>
        <w:t> </w:t>
      </w:r>
      <w:r>
        <w:rPr/>
        <w:t>Risoluzione</w:t>
      </w:r>
      <w:r>
        <w:rPr>
          <w:spacing w:val="-3"/>
        </w:rPr>
        <w:t> </w:t>
      </w:r>
      <w:r>
        <w:rPr/>
        <w:t>alla</w:t>
      </w:r>
      <w:r>
        <w:rPr>
          <w:spacing w:val="-6"/>
        </w:rPr>
        <w:t> </w:t>
      </w:r>
      <w:r>
        <w:rPr/>
        <w:t>MOZIONE</w:t>
      </w:r>
      <w:r>
        <w:rPr>
          <w:spacing w:val="-5"/>
        </w:rPr>
        <w:t> </w:t>
      </w:r>
      <w:r>
        <w:rPr/>
        <w:t>n°</w:t>
      </w:r>
      <w:r>
        <w:rPr>
          <w:spacing w:val="-3"/>
        </w:rPr>
        <w:t> </w:t>
      </w:r>
      <w:r>
        <w:rPr/>
        <w:t>P.G.</w:t>
      </w:r>
      <w:r>
        <w:rPr>
          <w:spacing w:val="-2"/>
        </w:rPr>
        <w:t> </w:t>
      </w:r>
      <w:r>
        <w:rPr/>
        <w:t>N.</w:t>
      </w:r>
      <w:r>
        <w:rPr>
          <w:spacing w:val="-2"/>
        </w:rPr>
        <w:t> </w:t>
      </w:r>
      <w:r>
        <w:rPr/>
        <w:t>196558/2025</w:t>
      </w:r>
      <w:r>
        <w:rPr>
          <w:spacing w:val="-3"/>
        </w:rPr>
        <w:t> </w:t>
      </w:r>
      <w:r>
        <w:rPr/>
        <w:t>per</w:t>
      </w:r>
      <w:r>
        <w:rPr>
          <w:spacing w:val="-4"/>
        </w:rPr>
        <w:t> </w:t>
      </w:r>
      <w:r>
        <w:rPr/>
        <w:t>la</w:t>
      </w:r>
      <w:r>
        <w:rPr>
          <w:spacing w:val="-6"/>
        </w:rPr>
        <w:t> </w:t>
      </w:r>
      <w:r>
        <w:rPr/>
        <w:t>tutela occupazionale e il rilancio produttivo di un sito industriale strategico per il nostro territorio</w:t>
      </w:r>
    </w:p>
    <w:p>
      <w:pPr>
        <w:pStyle w:val="BodyText"/>
        <w:spacing w:before="1"/>
        <w:rPr>
          <w:rFonts w:ascii="Arial"/>
          <w:b/>
        </w:rPr>
      </w:pPr>
    </w:p>
    <w:p>
      <w:pPr>
        <w:spacing w:before="0"/>
        <w:ind w:left="3" w:right="848" w:firstLine="0"/>
        <w:jc w:val="center"/>
        <w:rPr>
          <w:rFonts w:ascii="Arial"/>
          <w:b/>
          <w:sz w:val="28"/>
        </w:rPr>
      </w:pPr>
      <w:r>
        <w:rPr>
          <w:rFonts w:ascii="Arial"/>
          <w:b/>
          <w:sz w:val="28"/>
        </w:rPr>
        <w:t>Premesso</w:t>
      </w:r>
      <w:r>
        <w:rPr>
          <w:rFonts w:ascii="Arial"/>
          <w:b/>
          <w:spacing w:val="-5"/>
          <w:sz w:val="28"/>
        </w:rPr>
        <w:t> che</w:t>
      </w:r>
    </w:p>
    <w:p>
      <w:pPr>
        <w:pStyle w:val="BodyText"/>
        <w:spacing w:before="321"/>
        <w:ind w:left="140" w:right="1005"/>
      </w:pPr>
      <w:r>
        <w:rPr/>
        <w:t>A livello nazionale il settore della Chimica attraversa, ormai da tempo, un periodo di grandi cambiamenti che richiede particolare attenzione da parte di tutti</w:t>
      </w:r>
      <w:r>
        <w:rPr>
          <w:spacing w:val="-3"/>
        </w:rPr>
        <w:t> </w:t>
      </w:r>
      <w:r>
        <w:rPr/>
        <w:t>i</w:t>
      </w:r>
      <w:r>
        <w:rPr>
          <w:spacing w:val="-3"/>
        </w:rPr>
        <w:t> </w:t>
      </w:r>
      <w:r>
        <w:rPr/>
        <w:t>soggetti,</w:t>
      </w:r>
      <w:r>
        <w:rPr>
          <w:spacing w:val="-2"/>
        </w:rPr>
        <w:t> </w:t>
      </w:r>
      <w:r>
        <w:rPr/>
        <w:t>pubblici</w:t>
      </w:r>
      <w:r>
        <w:rPr>
          <w:spacing w:val="-3"/>
        </w:rPr>
        <w:t> </w:t>
      </w:r>
      <w:r>
        <w:rPr/>
        <w:t>e</w:t>
      </w:r>
      <w:r>
        <w:rPr>
          <w:spacing w:val="-1"/>
        </w:rPr>
        <w:t> </w:t>
      </w:r>
      <w:r>
        <w:rPr/>
        <w:t>privati, e</w:t>
      </w:r>
      <w:r>
        <w:rPr>
          <w:spacing w:val="-4"/>
        </w:rPr>
        <w:t> </w:t>
      </w:r>
      <w:r>
        <w:rPr/>
        <w:t>in</w:t>
      </w:r>
      <w:r>
        <w:rPr>
          <w:spacing w:val="-4"/>
        </w:rPr>
        <w:t> </w:t>
      </w:r>
      <w:r>
        <w:rPr/>
        <w:t>particolare</w:t>
      </w:r>
      <w:r>
        <w:rPr>
          <w:spacing w:val="-4"/>
        </w:rPr>
        <w:t> </w:t>
      </w:r>
      <w:r>
        <w:rPr/>
        <w:t>chiede</w:t>
      </w:r>
      <w:r>
        <w:rPr>
          <w:spacing w:val="-4"/>
        </w:rPr>
        <w:t> </w:t>
      </w:r>
      <w:r>
        <w:rPr/>
        <w:t>una</w:t>
      </w:r>
      <w:r>
        <w:rPr>
          <w:spacing w:val="-4"/>
        </w:rPr>
        <w:t> </w:t>
      </w:r>
      <w:r>
        <w:rPr/>
        <w:t>unità</w:t>
      </w:r>
      <w:r>
        <w:rPr>
          <w:spacing w:val="-1"/>
        </w:rPr>
        <w:t> </w:t>
      </w:r>
      <w:r>
        <w:rPr/>
        <w:t>di</w:t>
      </w:r>
      <w:r>
        <w:rPr>
          <w:spacing w:val="-3"/>
        </w:rPr>
        <w:t> </w:t>
      </w:r>
      <w:r>
        <w:rPr/>
        <w:t>intenti</w:t>
      </w:r>
      <w:r>
        <w:rPr>
          <w:spacing w:val="-3"/>
        </w:rPr>
        <w:t> </w:t>
      </w:r>
      <w:r>
        <w:rPr/>
        <w:t>che non ponga in contrapposizione tra loro le parti di uno stesso complesso sistema ma ne faciliti la collaborazione e la condivisione di obiettivi</w:t>
      </w:r>
    </w:p>
    <w:p>
      <w:pPr>
        <w:pStyle w:val="BodyText"/>
      </w:pPr>
    </w:p>
    <w:p>
      <w:pPr>
        <w:pStyle w:val="BodyText"/>
        <w:ind w:left="140" w:right="1005"/>
      </w:pPr>
      <w:r>
        <w:rPr/>
        <w:t>Il Comune di Ferrara in quest’ottica da tempo si relaziona in modo attivo con tutte</w:t>
      </w:r>
      <w:r>
        <w:rPr>
          <w:spacing w:val="-5"/>
        </w:rPr>
        <w:t> </w:t>
      </w:r>
      <w:r>
        <w:rPr/>
        <w:t>le</w:t>
      </w:r>
      <w:r>
        <w:rPr>
          <w:spacing w:val="-2"/>
        </w:rPr>
        <w:t> </w:t>
      </w:r>
      <w:r>
        <w:rPr/>
        <w:t>parti:</w:t>
      </w:r>
      <w:r>
        <w:rPr>
          <w:spacing w:val="-3"/>
        </w:rPr>
        <w:t> </w:t>
      </w:r>
      <w:r>
        <w:rPr/>
        <w:t>dalle</w:t>
      </w:r>
      <w:r>
        <w:rPr>
          <w:spacing w:val="-5"/>
        </w:rPr>
        <w:t> </w:t>
      </w:r>
      <w:r>
        <w:rPr/>
        <w:t>imprese</w:t>
      </w:r>
      <w:r>
        <w:rPr>
          <w:spacing w:val="-5"/>
        </w:rPr>
        <w:t> </w:t>
      </w:r>
      <w:r>
        <w:rPr/>
        <w:t>alle</w:t>
      </w:r>
      <w:r>
        <w:rPr>
          <w:spacing w:val="-5"/>
        </w:rPr>
        <w:t> </w:t>
      </w:r>
      <w:r>
        <w:rPr/>
        <w:t>sigle</w:t>
      </w:r>
      <w:r>
        <w:rPr>
          <w:spacing w:val="-5"/>
        </w:rPr>
        <w:t> </w:t>
      </w:r>
      <w:r>
        <w:rPr/>
        <w:t>sindacali,</w:t>
      </w:r>
      <w:r>
        <w:rPr>
          <w:spacing w:val="-3"/>
        </w:rPr>
        <w:t> </w:t>
      </w:r>
      <w:r>
        <w:rPr/>
        <w:t>dalla</w:t>
      </w:r>
      <w:r>
        <w:rPr>
          <w:spacing w:val="-5"/>
        </w:rPr>
        <w:t> </w:t>
      </w:r>
      <w:r>
        <w:rPr/>
        <w:t>Regione</w:t>
      </w:r>
      <w:r>
        <w:rPr>
          <w:spacing w:val="-2"/>
        </w:rPr>
        <w:t> </w:t>
      </w:r>
      <w:r>
        <w:rPr/>
        <w:t>Emilia</w:t>
      </w:r>
      <w:r>
        <w:rPr>
          <w:spacing w:val="-5"/>
        </w:rPr>
        <w:t> </w:t>
      </w:r>
      <w:r>
        <w:rPr/>
        <w:t>Romagna ai Ministeri in un dialogo mai interrotto e costruttivo in ottica unitaria</w:t>
      </w:r>
    </w:p>
    <w:p>
      <w:pPr>
        <w:pStyle w:val="BodyText"/>
      </w:pPr>
    </w:p>
    <w:p>
      <w:pPr>
        <w:pStyle w:val="BodyText"/>
        <w:spacing w:before="1"/>
      </w:pPr>
    </w:p>
    <w:p>
      <w:pPr>
        <w:pStyle w:val="Heading1"/>
        <w:ind w:left="3"/>
      </w:pPr>
      <w:r>
        <w:rPr/>
        <w:t>Tenuto</w:t>
      </w:r>
      <w:r>
        <w:rPr>
          <w:spacing w:val="-6"/>
        </w:rPr>
        <w:t> </w:t>
      </w:r>
      <w:r>
        <w:rPr/>
        <w:t>conto</w:t>
      </w:r>
      <w:r>
        <w:rPr>
          <w:spacing w:val="-6"/>
        </w:rPr>
        <w:t> </w:t>
      </w:r>
      <w:r>
        <w:rPr>
          <w:spacing w:val="-5"/>
        </w:rPr>
        <w:t>che</w:t>
      </w:r>
    </w:p>
    <w:p>
      <w:pPr>
        <w:pStyle w:val="BodyText"/>
        <w:spacing w:before="321"/>
        <w:ind w:left="140" w:right="1047"/>
      </w:pPr>
      <w:r>
        <w:rPr/>
        <w:t>nel mese di novembre 2025 si terrà la terza seduta del tavolo ministeriale coordinato dal Comune di Ferrara in riferimento al protocollo sottoscritto nel maggio 2024 per la Valorizzazione del Polo industriale e tecnologico a cui partecipano Ministero delle Imprese e del Made in Italy, Ministero dell’Ambiente e della Sicurezza Energetica, Regione Emilia-Romagna, Provincia di</w:t>
      </w:r>
      <w:r>
        <w:rPr>
          <w:spacing w:val="-2"/>
        </w:rPr>
        <w:t> </w:t>
      </w:r>
      <w:r>
        <w:rPr/>
        <w:t>Ferrara, Confindustria</w:t>
      </w:r>
      <w:r>
        <w:rPr>
          <w:spacing w:val="-3"/>
        </w:rPr>
        <w:t> </w:t>
      </w:r>
      <w:r>
        <w:rPr/>
        <w:t>Emilia, Federchimica, CGIL Ferrara, CISL Ferrara, U.R. UIL Emilia-Romagna sede di Ferrara, Università degli Studi di Ferrara, Autorità Distrettuale del Bacino del PO, Consorzio IntegratedFacility Management Scpa, Versalis S.p.A., Basell Poliolefine Italia S.r.l., Yara Italia S.p.A.,</w:t>
      </w:r>
      <w:r>
        <w:rPr>
          <w:spacing w:val="-2"/>
        </w:rPr>
        <w:t> </w:t>
      </w:r>
      <w:r>
        <w:rPr/>
        <w:t>Società</w:t>
      </w:r>
      <w:r>
        <w:rPr>
          <w:spacing w:val="-6"/>
        </w:rPr>
        <w:t> </w:t>
      </w:r>
      <w:r>
        <w:rPr/>
        <w:t>Enipower</w:t>
      </w:r>
      <w:r>
        <w:rPr>
          <w:spacing w:val="-3"/>
        </w:rPr>
        <w:t> </w:t>
      </w:r>
      <w:r>
        <w:rPr/>
        <w:t>Ferrara</w:t>
      </w:r>
      <w:r>
        <w:rPr>
          <w:spacing w:val="-3"/>
        </w:rPr>
        <w:t> </w:t>
      </w:r>
      <w:r>
        <w:rPr/>
        <w:t>S.r.l.,</w:t>
      </w:r>
      <w:r>
        <w:rPr>
          <w:spacing w:val="-2"/>
        </w:rPr>
        <w:t> </w:t>
      </w:r>
      <w:r>
        <w:rPr/>
        <w:t>Taropol</w:t>
      </w:r>
      <w:r>
        <w:rPr>
          <w:spacing w:val="-3"/>
        </w:rPr>
        <w:t> </w:t>
      </w:r>
      <w:r>
        <w:rPr/>
        <w:t>S.r.l.,</w:t>
      </w:r>
      <w:r>
        <w:rPr>
          <w:spacing w:val="-2"/>
        </w:rPr>
        <w:t> </w:t>
      </w:r>
      <w:r>
        <w:rPr/>
        <w:t>Centro</w:t>
      </w:r>
      <w:r>
        <w:rPr>
          <w:spacing w:val="-6"/>
        </w:rPr>
        <w:t> </w:t>
      </w:r>
      <w:r>
        <w:rPr/>
        <w:t>Energia</w:t>
      </w:r>
      <w:r>
        <w:rPr>
          <w:spacing w:val="-6"/>
        </w:rPr>
        <w:t> </w:t>
      </w:r>
      <w:r>
        <w:rPr/>
        <w:t>Ferrara S.p.A., SAPIO Produzione Idrogeno Ossigeno S.r.l., General Cavi S.p.A.;</w:t>
      </w:r>
    </w:p>
    <w:p>
      <w:pPr>
        <w:pStyle w:val="BodyText"/>
      </w:pPr>
    </w:p>
    <w:p>
      <w:pPr>
        <w:pStyle w:val="BodyText"/>
        <w:ind w:left="140" w:right="1047"/>
      </w:pPr>
      <w:r>
        <w:rPr/>
        <w:t>il Comune di Ferrara è attivo, attraverso un gruppo di lavoro dedicato, per tradurre in concreti vantaggi competitivi le possibilità offerte dalla Zls e sono in</w:t>
      </w:r>
      <w:r>
        <w:rPr>
          <w:spacing w:val="-2"/>
        </w:rPr>
        <w:t> </w:t>
      </w:r>
      <w:r>
        <w:rPr/>
        <w:t>avvio</w:t>
      </w:r>
      <w:r>
        <w:rPr>
          <w:spacing w:val="-2"/>
        </w:rPr>
        <w:t> </w:t>
      </w:r>
      <w:r>
        <w:rPr/>
        <w:t>le</w:t>
      </w:r>
      <w:r>
        <w:rPr>
          <w:spacing w:val="-2"/>
        </w:rPr>
        <w:t> </w:t>
      </w:r>
      <w:r>
        <w:rPr/>
        <w:t>attività</w:t>
      </w:r>
      <w:r>
        <w:rPr>
          <w:spacing w:val="-2"/>
        </w:rPr>
        <w:t> </w:t>
      </w:r>
      <w:r>
        <w:rPr/>
        <w:t>di</w:t>
      </w:r>
      <w:r>
        <w:rPr>
          <w:spacing w:val="-4"/>
        </w:rPr>
        <w:t> </w:t>
      </w:r>
      <w:r>
        <w:rPr/>
        <w:t>coinvolgimento</w:t>
      </w:r>
      <w:r>
        <w:rPr>
          <w:spacing w:val="-2"/>
        </w:rPr>
        <w:t> </w:t>
      </w:r>
      <w:r>
        <w:rPr/>
        <w:t>di</w:t>
      </w:r>
      <w:r>
        <w:rPr>
          <w:spacing w:val="-4"/>
        </w:rPr>
        <w:t> </w:t>
      </w:r>
      <w:r>
        <w:rPr/>
        <w:t>tutte</w:t>
      </w:r>
      <w:r>
        <w:rPr>
          <w:spacing w:val="-5"/>
        </w:rPr>
        <w:t> </w:t>
      </w:r>
      <w:r>
        <w:rPr/>
        <w:t>le</w:t>
      </w:r>
      <w:r>
        <w:rPr>
          <w:spacing w:val="-5"/>
        </w:rPr>
        <w:t> </w:t>
      </w:r>
      <w:r>
        <w:rPr/>
        <w:t>realtà</w:t>
      </w:r>
      <w:r>
        <w:rPr>
          <w:spacing w:val="-5"/>
        </w:rPr>
        <w:t> </w:t>
      </w:r>
      <w:r>
        <w:rPr/>
        <w:t>territoriali</w:t>
      </w:r>
      <w:r>
        <w:rPr>
          <w:spacing w:val="-2"/>
        </w:rPr>
        <w:t> </w:t>
      </w:r>
      <w:r>
        <w:rPr/>
        <w:t>interessate</w:t>
      </w:r>
      <w:r>
        <w:rPr>
          <w:spacing w:val="-7"/>
        </w:rPr>
        <w:t> </w:t>
      </w:r>
      <w:r>
        <w:rPr/>
        <w:t>che possano sostenere la promozione e l’attrattività in termini territoriali;</w:t>
      </w:r>
    </w:p>
    <w:p>
      <w:pPr>
        <w:pStyle w:val="BodyText"/>
        <w:rPr>
          <w:sz w:val="20"/>
        </w:rPr>
      </w:pPr>
    </w:p>
    <w:p>
      <w:pPr>
        <w:pStyle w:val="BodyText"/>
        <w:rPr>
          <w:sz w:val="20"/>
        </w:rPr>
      </w:pPr>
    </w:p>
    <w:p>
      <w:pPr>
        <w:pStyle w:val="BodyText"/>
        <w:rPr>
          <w:sz w:val="20"/>
        </w:rPr>
      </w:pPr>
    </w:p>
    <w:p>
      <w:pPr>
        <w:pStyle w:val="BodyText"/>
        <w:spacing w:before="114"/>
        <w:rPr>
          <w:sz w:val="20"/>
        </w:rPr>
      </w:pPr>
      <w:r>
        <w:rPr>
          <w:sz w:val="20"/>
        </w:rPr>
        <w:drawing>
          <wp:anchor distT="0" distB="0" distL="0" distR="0" allowOverlap="1" layoutInCell="1" locked="0" behindDoc="1" simplePos="0" relativeHeight="487587840">
            <wp:simplePos x="0" y="0"/>
            <wp:positionH relativeFrom="page">
              <wp:posOffset>719327</wp:posOffset>
            </wp:positionH>
            <wp:positionV relativeFrom="paragraph">
              <wp:posOffset>233667</wp:posOffset>
            </wp:positionV>
            <wp:extent cx="6096090" cy="51053"/>
            <wp:effectExtent l="0" t="0" r="0" b="0"/>
            <wp:wrapTopAndBottom/>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6096090" cy="51053"/>
                    </a:xfrm>
                    <a:prstGeom prst="rect">
                      <a:avLst/>
                    </a:prstGeom>
                  </pic:spPr>
                </pic:pic>
              </a:graphicData>
            </a:graphic>
          </wp:anchor>
        </w:drawing>
      </w:r>
    </w:p>
    <w:p>
      <w:pPr>
        <w:pStyle w:val="BodyText"/>
        <w:spacing w:after="0"/>
        <w:rPr>
          <w:sz w:val="20"/>
        </w:rPr>
        <w:sectPr>
          <w:type w:val="continuous"/>
          <w:pgSz w:w="11900" w:h="16840"/>
          <w:pgMar w:top="140" w:bottom="280" w:left="992" w:right="141"/>
        </w:sectPr>
      </w:pPr>
    </w:p>
    <w:p>
      <w:pPr>
        <w:pStyle w:val="BodyText"/>
        <w:spacing w:before="35"/>
        <w:ind w:left="140" w:right="1075"/>
      </w:pPr>
      <w:r>
        <w:rPr/>
        <w:t>pochi giorni fa vicepresidente della Regione Emilia-Romagna, Vincenzo Colla, ha incontrato il sindaco di Ferrara, Alan Fabbri, per avviare, insieme, un percorso di rilancio per il Polo industriale e tecnologico di Ferrara che punti</w:t>
      </w:r>
      <w:r>
        <w:rPr>
          <w:spacing w:val="-4"/>
        </w:rPr>
        <w:t> </w:t>
      </w:r>
      <w:r>
        <w:rPr/>
        <w:t>alla</w:t>
      </w:r>
      <w:r>
        <w:rPr>
          <w:spacing w:val="-5"/>
        </w:rPr>
        <w:t> </w:t>
      </w:r>
      <w:r>
        <w:rPr/>
        <w:t>tenuta</w:t>
      </w:r>
      <w:r>
        <w:rPr>
          <w:spacing w:val="-5"/>
        </w:rPr>
        <w:t> </w:t>
      </w:r>
      <w:r>
        <w:rPr/>
        <w:t>e</w:t>
      </w:r>
      <w:r>
        <w:rPr>
          <w:spacing w:val="-5"/>
        </w:rPr>
        <w:t> </w:t>
      </w:r>
      <w:r>
        <w:rPr/>
        <w:t>allo</w:t>
      </w:r>
      <w:r>
        <w:rPr>
          <w:spacing w:val="-5"/>
        </w:rPr>
        <w:t> </w:t>
      </w:r>
      <w:r>
        <w:rPr/>
        <w:t>sviluppo</w:t>
      </w:r>
      <w:r>
        <w:rPr>
          <w:spacing w:val="-2"/>
        </w:rPr>
        <w:t> </w:t>
      </w:r>
      <w:r>
        <w:rPr/>
        <w:t>economico</w:t>
      </w:r>
      <w:r>
        <w:rPr>
          <w:spacing w:val="-2"/>
        </w:rPr>
        <w:t> </w:t>
      </w:r>
      <w:r>
        <w:rPr/>
        <w:t>del</w:t>
      </w:r>
      <w:r>
        <w:rPr>
          <w:spacing w:val="-4"/>
        </w:rPr>
        <w:t> </w:t>
      </w:r>
      <w:r>
        <w:rPr/>
        <w:t>comparto</w:t>
      </w:r>
      <w:r>
        <w:rPr>
          <w:spacing w:val="-5"/>
        </w:rPr>
        <w:t> </w:t>
      </w:r>
      <w:r>
        <w:rPr/>
        <w:t>della</w:t>
      </w:r>
      <w:r>
        <w:rPr>
          <w:spacing w:val="-5"/>
        </w:rPr>
        <w:t> </w:t>
      </w:r>
      <w:r>
        <w:rPr/>
        <w:t>chimica</w:t>
      </w:r>
      <w:r>
        <w:rPr>
          <w:spacing w:val="-2"/>
        </w:rPr>
        <w:t> </w:t>
      </w:r>
      <w:r>
        <w:rPr/>
        <w:t>locale, in un’ottica di innovazione tecnologica e sostenibilità ambientale;</w:t>
      </w:r>
    </w:p>
    <w:p>
      <w:pPr>
        <w:pStyle w:val="BodyText"/>
      </w:pPr>
    </w:p>
    <w:p>
      <w:pPr>
        <w:pStyle w:val="BodyText"/>
        <w:spacing w:before="1"/>
        <w:ind w:left="140" w:right="1047"/>
      </w:pPr>
      <w:r>
        <w:rPr/>
        <w:t>l’intenzione</w:t>
      </w:r>
      <w:r>
        <w:rPr>
          <w:spacing w:val="-4"/>
        </w:rPr>
        <w:t> </w:t>
      </w:r>
      <w:r>
        <w:rPr/>
        <w:t>di</w:t>
      </w:r>
      <w:r>
        <w:rPr>
          <w:spacing w:val="-3"/>
        </w:rPr>
        <w:t> </w:t>
      </w:r>
      <w:r>
        <w:rPr/>
        <w:t>tutti</w:t>
      </w:r>
      <w:r>
        <w:rPr>
          <w:spacing w:val="-3"/>
        </w:rPr>
        <w:t> </w:t>
      </w:r>
      <w:r>
        <w:rPr/>
        <w:t>gli</w:t>
      </w:r>
      <w:r>
        <w:rPr>
          <w:spacing w:val="-1"/>
        </w:rPr>
        <w:t> </w:t>
      </w:r>
      <w:r>
        <w:rPr/>
        <w:t>enti</w:t>
      </w:r>
      <w:r>
        <w:rPr>
          <w:spacing w:val="-3"/>
        </w:rPr>
        <w:t> </w:t>
      </w:r>
      <w:r>
        <w:rPr/>
        <w:t>coinvolti</w:t>
      </w:r>
      <w:r>
        <w:rPr>
          <w:spacing w:val="-3"/>
        </w:rPr>
        <w:t> </w:t>
      </w:r>
      <w:r>
        <w:rPr/>
        <w:t>i</w:t>
      </w:r>
      <w:r>
        <w:rPr>
          <w:spacing w:val="-1"/>
        </w:rPr>
        <w:t> </w:t>
      </w:r>
      <w:r>
        <w:rPr/>
        <w:t>queste</w:t>
      </w:r>
      <w:r>
        <w:rPr>
          <w:spacing w:val="-6"/>
        </w:rPr>
        <w:t> </w:t>
      </w:r>
      <w:r>
        <w:rPr/>
        <w:t>tre</w:t>
      </w:r>
      <w:r>
        <w:rPr>
          <w:spacing w:val="-4"/>
        </w:rPr>
        <w:t> </w:t>
      </w:r>
      <w:r>
        <w:rPr/>
        <w:t>attività</w:t>
      </w:r>
      <w:r>
        <w:rPr>
          <w:spacing w:val="-1"/>
        </w:rPr>
        <w:t> </w:t>
      </w:r>
      <w:r>
        <w:rPr/>
        <w:t>è</w:t>
      </w:r>
      <w:r>
        <w:rPr>
          <w:spacing w:val="-4"/>
        </w:rPr>
        <w:t> </w:t>
      </w:r>
      <w:r>
        <w:rPr/>
        <w:t>quella</w:t>
      </w:r>
      <w:r>
        <w:rPr>
          <w:spacing w:val="-1"/>
        </w:rPr>
        <w:t> </w:t>
      </w:r>
      <w:r>
        <w:rPr/>
        <w:t>di</w:t>
      </w:r>
      <w:r>
        <w:rPr>
          <w:spacing w:val="-3"/>
        </w:rPr>
        <w:t> </w:t>
      </w:r>
      <w:r>
        <w:rPr/>
        <w:t>fare</w:t>
      </w:r>
      <w:r>
        <w:rPr>
          <w:spacing w:val="-4"/>
        </w:rPr>
        <w:t> </w:t>
      </w:r>
      <w:r>
        <w:rPr/>
        <w:t>sistema e di rafforzare il sistema territoriale sia in termini concreti che di immagine proprio al fine di promuovere l’attrattività del nostro territorio;</w:t>
      </w:r>
    </w:p>
    <w:p>
      <w:pPr>
        <w:pStyle w:val="BodyText"/>
      </w:pPr>
    </w:p>
    <w:p>
      <w:pPr>
        <w:pStyle w:val="Heading1"/>
        <w:spacing w:before="1"/>
        <w:ind w:left="5"/>
      </w:pPr>
      <w:r>
        <w:rPr/>
        <w:t>Preso</w:t>
      </w:r>
      <w:r>
        <w:rPr>
          <w:spacing w:val="-2"/>
        </w:rPr>
        <w:t> </w:t>
      </w:r>
      <w:r>
        <w:rPr/>
        <w:t>atto</w:t>
      </w:r>
      <w:r>
        <w:rPr>
          <w:spacing w:val="-2"/>
        </w:rPr>
        <w:t> </w:t>
      </w:r>
      <w:r>
        <w:rPr>
          <w:spacing w:val="-5"/>
        </w:rPr>
        <w:t>che</w:t>
      </w:r>
    </w:p>
    <w:p>
      <w:pPr>
        <w:pStyle w:val="BodyText"/>
        <w:spacing w:before="321"/>
        <w:ind w:left="140" w:right="1047"/>
      </w:pPr>
      <w:r>
        <w:rPr/>
        <w:t>il Pd ferrarese, nonostante pretenda di farsi paladino della promozione del Polo industriale e Tecnologico di Ferrara, non è evidentemente al corrente delle</w:t>
      </w:r>
      <w:r>
        <w:rPr>
          <w:spacing w:val="-1"/>
        </w:rPr>
        <w:t> </w:t>
      </w:r>
      <w:r>
        <w:rPr/>
        <w:t>interlocuzioni</w:t>
      </w:r>
      <w:r>
        <w:rPr>
          <w:spacing w:val="-6"/>
        </w:rPr>
        <w:t> </w:t>
      </w:r>
      <w:r>
        <w:rPr/>
        <w:t>attive</w:t>
      </w:r>
      <w:r>
        <w:rPr>
          <w:spacing w:val="-1"/>
        </w:rPr>
        <w:t> </w:t>
      </w:r>
      <w:r>
        <w:rPr/>
        <w:t>e</w:t>
      </w:r>
      <w:r>
        <w:rPr>
          <w:spacing w:val="-4"/>
        </w:rPr>
        <w:t> </w:t>
      </w:r>
      <w:r>
        <w:rPr/>
        <w:t>dei</w:t>
      </w:r>
      <w:r>
        <w:rPr>
          <w:spacing w:val="-3"/>
        </w:rPr>
        <w:t> </w:t>
      </w:r>
      <w:r>
        <w:rPr/>
        <w:t>frutti</w:t>
      </w:r>
      <w:r>
        <w:rPr>
          <w:spacing w:val="-6"/>
        </w:rPr>
        <w:t> </w:t>
      </w:r>
      <w:r>
        <w:rPr/>
        <w:t>che</w:t>
      </w:r>
      <w:r>
        <w:rPr>
          <w:spacing w:val="-1"/>
        </w:rPr>
        <w:t> </w:t>
      </w:r>
      <w:r>
        <w:rPr/>
        <w:t>queste</w:t>
      </w:r>
      <w:r>
        <w:rPr>
          <w:spacing w:val="-6"/>
        </w:rPr>
        <w:t> </w:t>
      </w:r>
      <w:r>
        <w:rPr/>
        <w:t>stanno,</w:t>
      </w:r>
      <w:r>
        <w:rPr>
          <w:spacing w:val="-5"/>
        </w:rPr>
        <w:t> </w:t>
      </w:r>
      <w:r>
        <w:rPr/>
        <w:t>sia</w:t>
      </w:r>
      <w:r>
        <w:rPr>
          <w:spacing w:val="-1"/>
        </w:rPr>
        <w:t> </w:t>
      </w:r>
      <w:r>
        <w:rPr/>
        <w:t>pure</w:t>
      </w:r>
      <w:r>
        <w:rPr>
          <w:spacing w:val="-4"/>
        </w:rPr>
        <w:t> </w:t>
      </w:r>
      <w:r>
        <w:rPr/>
        <w:t>lentamente, facendo maturare, né, in ogni caso, appare condividere l’ottica di fare </w:t>
      </w:r>
      <w:r>
        <w:rPr>
          <w:spacing w:val="-2"/>
        </w:rPr>
        <w:t>sistema;</w:t>
      </w:r>
    </w:p>
    <w:p>
      <w:pPr>
        <w:pStyle w:val="BodyText"/>
      </w:pPr>
    </w:p>
    <w:p>
      <w:pPr>
        <w:pStyle w:val="BodyText"/>
        <w:ind w:left="140" w:right="1005"/>
      </w:pPr>
      <w:r>
        <w:rPr/>
        <w:t>l’atto presentato,</w:t>
      </w:r>
      <w:r>
        <w:rPr>
          <w:spacing w:val="-2"/>
        </w:rPr>
        <w:t> </w:t>
      </w:r>
      <w:r>
        <w:rPr/>
        <w:t>come anche i precedenti, è</w:t>
      </w:r>
      <w:r>
        <w:rPr>
          <w:spacing w:val="-1"/>
        </w:rPr>
        <w:t> </w:t>
      </w:r>
      <w:r>
        <w:rPr/>
        <w:t>evidentemente infatti orientato</w:t>
      </w:r>
      <w:r>
        <w:rPr>
          <w:spacing w:val="-1"/>
        </w:rPr>
        <w:t> </w:t>
      </w:r>
      <w:r>
        <w:rPr/>
        <w:t>a dividere</w:t>
      </w:r>
      <w:r>
        <w:rPr>
          <w:spacing w:val="-2"/>
        </w:rPr>
        <w:t> </w:t>
      </w:r>
      <w:r>
        <w:rPr/>
        <w:t>e</w:t>
      </w:r>
      <w:r>
        <w:rPr>
          <w:spacing w:val="-2"/>
        </w:rPr>
        <w:t> </w:t>
      </w:r>
      <w:r>
        <w:rPr/>
        <w:t>non</w:t>
      </w:r>
      <w:r>
        <w:rPr>
          <w:spacing w:val="-5"/>
        </w:rPr>
        <w:t> </w:t>
      </w:r>
      <w:r>
        <w:rPr/>
        <w:t>ad</w:t>
      </w:r>
      <w:r>
        <w:rPr>
          <w:spacing w:val="-5"/>
        </w:rPr>
        <w:t> </w:t>
      </w:r>
      <w:r>
        <w:rPr/>
        <w:t>unire</w:t>
      </w:r>
      <w:r>
        <w:rPr>
          <w:spacing w:val="-2"/>
        </w:rPr>
        <w:t> </w:t>
      </w:r>
      <w:r>
        <w:rPr/>
        <w:t>i</w:t>
      </w:r>
      <w:r>
        <w:rPr>
          <w:spacing w:val="-4"/>
        </w:rPr>
        <w:t> </w:t>
      </w:r>
      <w:r>
        <w:rPr/>
        <w:t>soggetti</w:t>
      </w:r>
      <w:r>
        <w:rPr>
          <w:spacing w:val="-4"/>
        </w:rPr>
        <w:t> </w:t>
      </w:r>
      <w:r>
        <w:rPr/>
        <w:t>attivi,</w:t>
      </w:r>
      <w:r>
        <w:rPr>
          <w:spacing w:val="-1"/>
        </w:rPr>
        <w:t> </w:t>
      </w:r>
      <w:r>
        <w:rPr/>
        <w:t>in</w:t>
      </w:r>
      <w:r>
        <w:rPr>
          <w:spacing w:val="-2"/>
        </w:rPr>
        <w:t> </w:t>
      </w:r>
      <w:r>
        <w:rPr/>
        <w:t>una</w:t>
      </w:r>
      <w:r>
        <w:rPr>
          <w:spacing w:val="-2"/>
        </w:rPr>
        <w:t> </w:t>
      </w:r>
      <w:r>
        <w:rPr/>
        <w:t>logica</w:t>
      </w:r>
      <w:r>
        <w:rPr>
          <w:spacing w:val="-2"/>
        </w:rPr>
        <w:t> </w:t>
      </w:r>
      <w:r>
        <w:rPr/>
        <w:t>desueta,</w:t>
      </w:r>
      <w:r>
        <w:rPr>
          <w:spacing w:val="-6"/>
        </w:rPr>
        <w:t> </w:t>
      </w:r>
      <w:r>
        <w:rPr/>
        <w:t>che</w:t>
      </w:r>
      <w:r>
        <w:rPr>
          <w:spacing w:val="-2"/>
        </w:rPr>
        <w:t> </w:t>
      </w:r>
      <w:r>
        <w:rPr/>
        <w:t>vuole</w:t>
      </w:r>
      <w:r>
        <w:rPr>
          <w:spacing w:val="-2"/>
        </w:rPr>
        <w:t> </w:t>
      </w:r>
      <w:r>
        <w:rPr/>
        <w:t>a</w:t>
      </w:r>
      <w:r>
        <w:rPr>
          <w:spacing w:val="-5"/>
        </w:rPr>
        <w:t> </w:t>
      </w:r>
      <w:r>
        <w:rPr/>
        <w:t>tutti i costi vedere contrapposti i lavoratori alle attività di produzione, gli anti locali alle realtà sindacali e, in ultima istanza i cittadini e il Polo industriale e Tecnologico di Ferrara considerato ancora come realtà avulsa dalla città da additare nel momento in cui è toccato da una crisi nazionale e da ignorare quando non ci sono emergenze in vista;</w:t>
      </w:r>
    </w:p>
    <w:p>
      <w:pPr>
        <w:pStyle w:val="BodyText"/>
        <w:spacing w:before="2"/>
      </w:pPr>
    </w:p>
    <w:p>
      <w:pPr>
        <w:pStyle w:val="Heading1"/>
      </w:pPr>
      <w:r>
        <w:rPr/>
        <w:t>Aggiunto</w:t>
      </w:r>
      <w:r>
        <w:rPr>
          <w:spacing w:val="-8"/>
        </w:rPr>
        <w:t> </w:t>
      </w:r>
      <w:r>
        <w:rPr>
          <w:spacing w:val="-5"/>
        </w:rPr>
        <w:t>che</w:t>
      </w:r>
    </w:p>
    <w:p>
      <w:pPr>
        <w:pStyle w:val="BodyText"/>
        <w:spacing w:before="321"/>
        <w:ind w:left="140" w:right="1047"/>
      </w:pPr>
      <w:r>
        <w:rPr/>
        <w:t>il</w:t>
      </w:r>
      <w:r>
        <w:rPr>
          <w:spacing w:val="-3"/>
        </w:rPr>
        <w:t> </w:t>
      </w:r>
      <w:r>
        <w:rPr/>
        <w:t>documento</w:t>
      </w:r>
      <w:r>
        <w:rPr>
          <w:spacing w:val="-3"/>
        </w:rPr>
        <w:t> </w:t>
      </w:r>
      <w:r>
        <w:rPr/>
        <w:t>presentato</w:t>
      </w:r>
      <w:r>
        <w:rPr>
          <w:spacing w:val="-3"/>
        </w:rPr>
        <w:t> </w:t>
      </w:r>
      <w:r>
        <w:rPr/>
        <w:t>è</w:t>
      </w:r>
      <w:r>
        <w:rPr>
          <w:spacing w:val="-6"/>
        </w:rPr>
        <w:t> </w:t>
      </w:r>
      <w:r>
        <w:rPr/>
        <w:t>ritenuto,</w:t>
      </w:r>
      <w:r>
        <w:rPr>
          <w:spacing w:val="-4"/>
        </w:rPr>
        <w:t> </w:t>
      </w:r>
      <w:r>
        <w:rPr/>
        <w:t>dunque,</w:t>
      </w:r>
      <w:r>
        <w:rPr>
          <w:spacing w:val="-4"/>
        </w:rPr>
        <w:t> </w:t>
      </w:r>
      <w:r>
        <w:rPr/>
        <w:t>irricevibile</w:t>
      </w:r>
      <w:r>
        <w:rPr>
          <w:spacing w:val="-3"/>
        </w:rPr>
        <w:t> </w:t>
      </w:r>
      <w:r>
        <w:rPr/>
        <w:t>per</w:t>
      </w:r>
      <w:r>
        <w:rPr>
          <w:spacing w:val="-3"/>
        </w:rPr>
        <w:t> </w:t>
      </w:r>
      <w:r>
        <w:rPr/>
        <w:t>la</w:t>
      </w:r>
      <w:r>
        <w:rPr>
          <w:spacing w:val="-6"/>
        </w:rPr>
        <w:t> </w:t>
      </w:r>
      <w:r>
        <w:rPr/>
        <w:t>volontà</w:t>
      </w:r>
      <w:r>
        <w:rPr>
          <w:spacing w:val="-6"/>
        </w:rPr>
        <w:t> </w:t>
      </w:r>
      <w:r>
        <w:rPr/>
        <w:t>sottesa che mira a strumentalizzare le criticità che il comparto della Chimica sta attraversando a discapito della unità di intenti espresso dal sistema Ferrara;</w:t>
      </w:r>
    </w:p>
    <w:p>
      <w:pPr>
        <w:pStyle w:val="BodyText"/>
        <w:spacing w:before="1"/>
      </w:pPr>
    </w:p>
    <w:p>
      <w:pPr>
        <w:pStyle w:val="BodyText"/>
        <w:ind w:left="140" w:right="1112"/>
      </w:pPr>
      <w:r>
        <w:rPr/>
        <w:t>risulterebbe a contrario necessario in questo momento dismettere toni e posizioni di scontro e adottare, tutti insieme, una visione costruttiva e di sistema</w:t>
      </w:r>
      <w:r>
        <w:rPr>
          <w:spacing w:val="-5"/>
        </w:rPr>
        <w:t> </w:t>
      </w:r>
      <w:r>
        <w:rPr/>
        <w:t>a</w:t>
      </w:r>
      <w:r>
        <w:rPr>
          <w:spacing w:val="-5"/>
        </w:rPr>
        <w:t> </w:t>
      </w:r>
      <w:r>
        <w:rPr/>
        <w:t>favore</w:t>
      </w:r>
      <w:r>
        <w:rPr>
          <w:spacing w:val="-2"/>
        </w:rPr>
        <w:t> </w:t>
      </w:r>
      <w:r>
        <w:rPr/>
        <w:t>proprio</w:t>
      </w:r>
      <w:r>
        <w:rPr>
          <w:spacing w:val="-2"/>
        </w:rPr>
        <w:t> </w:t>
      </w:r>
      <w:r>
        <w:rPr/>
        <w:t>della</w:t>
      </w:r>
      <w:r>
        <w:rPr>
          <w:spacing w:val="-5"/>
        </w:rPr>
        <w:t> </w:t>
      </w:r>
      <w:r>
        <w:rPr/>
        <w:t>tenuta</w:t>
      </w:r>
      <w:r>
        <w:rPr>
          <w:spacing w:val="-5"/>
        </w:rPr>
        <w:t> </w:t>
      </w:r>
      <w:r>
        <w:rPr/>
        <w:t>occupazionale</w:t>
      </w:r>
      <w:r>
        <w:rPr>
          <w:spacing w:val="-5"/>
        </w:rPr>
        <w:t> </w:t>
      </w:r>
      <w:r>
        <w:rPr/>
        <w:t>e</w:t>
      </w:r>
      <w:r>
        <w:rPr>
          <w:spacing w:val="-2"/>
        </w:rPr>
        <w:t> </w:t>
      </w:r>
      <w:r>
        <w:rPr/>
        <w:t>dello</w:t>
      </w:r>
      <w:r>
        <w:rPr>
          <w:spacing w:val="-2"/>
        </w:rPr>
        <w:t> </w:t>
      </w:r>
      <w:r>
        <w:rPr/>
        <w:t>sviluppo</w:t>
      </w:r>
      <w:r>
        <w:rPr>
          <w:spacing w:val="-5"/>
        </w:rPr>
        <w:t> </w:t>
      </w:r>
      <w:r>
        <w:rPr/>
        <w:t>futuro del nostro principale comparto industriale;</w:t>
      </w:r>
    </w:p>
    <w:p>
      <w:pPr>
        <w:pStyle w:val="BodyText"/>
      </w:pPr>
    </w:p>
    <w:p>
      <w:pPr>
        <w:pStyle w:val="Heading1"/>
      </w:pPr>
      <w:r>
        <w:rPr/>
        <w:t>Il</w:t>
      </w:r>
      <w:r>
        <w:rPr>
          <w:spacing w:val="-6"/>
        </w:rPr>
        <w:t> </w:t>
      </w:r>
      <w:r>
        <w:rPr/>
        <w:t>Consiglio</w:t>
      </w:r>
      <w:r>
        <w:rPr>
          <w:spacing w:val="-7"/>
        </w:rPr>
        <w:t> </w:t>
      </w:r>
      <w:r>
        <w:rPr/>
        <w:t>comunale</w:t>
      </w:r>
      <w:r>
        <w:rPr>
          <w:spacing w:val="-5"/>
        </w:rPr>
        <w:t> </w:t>
      </w:r>
      <w:r>
        <w:rPr/>
        <w:t>impegna</w:t>
      </w:r>
      <w:r>
        <w:rPr>
          <w:spacing w:val="-3"/>
        </w:rPr>
        <w:t> </w:t>
      </w:r>
      <w:r>
        <w:rPr/>
        <w:t>il</w:t>
      </w:r>
      <w:r>
        <w:rPr>
          <w:spacing w:val="-4"/>
        </w:rPr>
        <w:t> </w:t>
      </w:r>
      <w:r>
        <w:rPr/>
        <w:t>Sindaco</w:t>
      </w:r>
      <w:r>
        <w:rPr>
          <w:spacing w:val="-3"/>
        </w:rPr>
        <w:t> </w:t>
      </w:r>
      <w:r>
        <w:rPr/>
        <w:t>e</w:t>
      </w:r>
      <w:r>
        <w:rPr>
          <w:spacing w:val="-3"/>
        </w:rPr>
        <w:t> </w:t>
      </w:r>
      <w:r>
        <w:rPr/>
        <w:t>la</w:t>
      </w:r>
      <w:r>
        <w:rPr>
          <w:spacing w:val="-5"/>
        </w:rPr>
        <w:t> </w:t>
      </w:r>
      <w:r>
        <w:rPr>
          <w:spacing w:val="-2"/>
        </w:rPr>
        <w:t>Giunta</w:t>
      </w:r>
    </w:p>
    <w:p>
      <w:pPr>
        <w:pStyle w:val="BodyText"/>
        <w:spacing w:before="322"/>
        <w:ind w:left="140" w:right="1047"/>
      </w:pPr>
      <w:r>
        <w:rPr/>
        <w:t>A continuare a tradurre la solidarietà ai lavoratori del Polo industriale e Tecnologico in azioni concrete che mettano in luce e supportino le potenzialità</w:t>
      </w:r>
      <w:r>
        <w:rPr>
          <w:spacing w:val="-5"/>
        </w:rPr>
        <w:t> </w:t>
      </w:r>
      <w:r>
        <w:rPr/>
        <w:t>di</w:t>
      </w:r>
      <w:r>
        <w:rPr>
          <w:spacing w:val="-2"/>
        </w:rPr>
        <w:t> </w:t>
      </w:r>
      <w:r>
        <w:rPr/>
        <w:t>rilancio</w:t>
      </w:r>
      <w:r>
        <w:rPr>
          <w:spacing w:val="-5"/>
        </w:rPr>
        <w:t> </w:t>
      </w:r>
      <w:r>
        <w:rPr/>
        <w:t>del</w:t>
      </w:r>
      <w:r>
        <w:rPr>
          <w:spacing w:val="-4"/>
        </w:rPr>
        <w:t> </w:t>
      </w:r>
      <w:r>
        <w:rPr/>
        <w:t>Polo</w:t>
      </w:r>
      <w:r>
        <w:rPr>
          <w:spacing w:val="-5"/>
        </w:rPr>
        <w:t> </w:t>
      </w:r>
      <w:r>
        <w:rPr/>
        <w:t>industriale</w:t>
      </w:r>
      <w:r>
        <w:rPr>
          <w:spacing w:val="-2"/>
        </w:rPr>
        <w:t> </w:t>
      </w:r>
      <w:r>
        <w:rPr/>
        <w:t>e</w:t>
      </w:r>
      <w:r>
        <w:rPr>
          <w:spacing w:val="-5"/>
        </w:rPr>
        <w:t> </w:t>
      </w:r>
      <w:r>
        <w:rPr/>
        <w:t>tecnologico</w:t>
      </w:r>
      <w:r>
        <w:rPr>
          <w:spacing w:val="-5"/>
        </w:rPr>
        <w:t> </w:t>
      </w:r>
      <w:r>
        <w:rPr/>
        <w:t>di</w:t>
      </w:r>
      <w:r>
        <w:rPr>
          <w:spacing w:val="-4"/>
        </w:rPr>
        <w:t> </w:t>
      </w:r>
      <w:r>
        <w:rPr/>
        <w:t>Ferrara,</w:t>
      </w:r>
      <w:r>
        <w:rPr>
          <w:spacing w:val="-1"/>
        </w:rPr>
        <w:t> </w:t>
      </w:r>
      <w:r>
        <w:rPr/>
        <w:t>operando in modo concertato con</w:t>
      </w:r>
      <w:r>
        <w:rPr>
          <w:spacing w:val="-1"/>
        </w:rPr>
        <w:t> </w:t>
      </w:r>
      <w:r>
        <w:rPr/>
        <w:t>tutti gli attori del territorio e promuovendo la crescita</w:t>
      </w:r>
    </w:p>
    <w:p>
      <w:pPr>
        <w:pStyle w:val="BodyText"/>
        <w:spacing w:after="0"/>
        <w:sectPr>
          <w:pgSz w:w="11900" w:h="16840"/>
          <w:pgMar w:top="880" w:bottom="280" w:left="992" w:right="141"/>
        </w:sectPr>
      </w:pPr>
    </w:p>
    <w:p>
      <w:pPr>
        <w:pStyle w:val="BodyText"/>
        <w:spacing w:line="242" w:lineRule="auto" w:before="35"/>
        <w:ind w:left="140" w:right="1005"/>
      </w:pPr>
      <w:r>
        <w:rPr/>
        <w:t>dello</w:t>
      </w:r>
      <w:r>
        <w:rPr>
          <w:spacing w:val="-5"/>
        </w:rPr>
        <w:t> </w:t>
      </w:r>
      <w:r>
        <w:rPr/>
        <w:t>stesso</w:t>
      </w:r>
      <w:r>
        <w:rPr>
          <w:spacing w:val="-5"/>
        </w:rPr>
        <w:t> </w:t>
      </w:r>
      <w:r>
        <w:rPr/>
        <w:t>a</w:t>
      </w:r>
      <w:r>
        <w:rPr>
          <w:spacing w:val="-2"/>
        </w:rPr>
        <w:t> </w:t>
      </w:r>
      <w:r>
        <w:rPr/>
        <w:t>beneficio</w:t>
      </w:r>
      <w:r>
        <w:rPr>
          <w:spacing w:val="-2"/>
        </w:rPr>
        <w:t> </w:t>
      </w:r>
      <w:r>
        <w:rPr/>
        <w:t>della</w:t>
      </w:r>
      <w:r>
        <w:rPr>
          <w:spacing w:val="-5"/>
        </w:rPr>
        <w:t> </w:t>
      </w:r>
      <w:r>
        <w:rPr/>
        <w:t>tenuta</w:t>
      </w:r>
      <w:r>
        <w:rPr>
          <w:spacing w:val="-5"/>
        </w:rPr>
        <w:t> </w:t>
      </w:r>
      <w:r>
        <w:rPr/>
        <w:t>occupazionale</w:t>
      </w:r>
      <w:r>
        <w:rPr>
          <w:spacing w:val="-5"/>
        </w:rPr>
        <w:t> </w:t>
      </w:r>
      <w:r>
        <w:rPr/>
        <w:t>e</w:t>
      </w:r>
      <w:r>
        <w:rPr>
          <w:spacing w:val="-5"/>
        </w:rPr>
        <w:t> </w:t>
      </w:r>
      <w:r>
        <w:rPr/>
        <w:t>dello</w:t>
      </w:r>
      <w:r>
        <w:rPr>
          <w:spacing w:val="-5"/>
        </w:rPr>
        <w:t> </w:t>
      </w:r>
      <w:r>
        <w:rPr/>
        <w:t>sviluppo</w:t>
      </w:r>
      <w:r>
        <w:rPr>
          <w:spacing w:val="-2"/>
        </w:rPr>
        <w:t> </w:t>
      </w:r>
      <w:r>
        <w:rPr/>
        <w:t>dell’intero comparto, delle imprese insediate e dell’arrivo di nuovi insediamenti.</w:t>
      </w:r>
    </w:p>
    <w:p>
      <w:pPr>
        <w:pStyle w:val="BodyText"/>
        <w:spacing w:before="267"/>
      </w:pPr>
    </w:p>
    <w:p>
      <w:pPr>
        <w:spacing w:before="0"/>
        <w:ind w:left="0" w:right="988" w:firstLine="0"/>
        <w:jc w:val="right"/>
        <w:rPr>
          <w:rFonts w:ascii="Times New Roman"/>
          <w:sz w:val="26"/>
        </w:rPr>
      </w:pPr>
      <w:r>
        <w:rPr>
          <w:rFonts w:ascii="Times New Roman"/>
          <w:spacing w:val="-2"/>
          <w:sz w:val="26"/>
        </w:rPr>
        <w:t>FIRME</w:t>
      </w:r>
    </w:p>
    <w:p>
      <w:pPr>
        <w:pStyle w:val="BodyText"/>
        <w:rPr>
          <w:rFonts w:ascii="Times New Roman"/>
          <w:sz w:val="26"/>
        </w:rPr>
      </w:pPr>
    </w:p>
    <w:p>
      <w:pPr>
        <w:spacing w:line="480" w:lineRule="auto" w:before="0"/>
        <w:ind w:left="7158" w:right="983" w:firstLine="446"/>
        <w:jc w:val="right"/>
        <w:rPr>
          <w:rFonts w:ascii="Times New Roman" w:hAnsi="Times New Roman"/>
          <w:sz w:val="26"/>
        </w:rPr>
      </w:pPr>
      <w:r>
        <w:rPr>
          <w:rFonts w:ascii="Times New Roman" w:hAnsi="Times New Roman"/>
          <w:sz w:val="26"/>
        </w:rPr>
        <w:t>Iolanda</w:t>
      </w:r>
      <w:r>
        <w:rPr>
          <w:rFonts w:ascii="Times New Roman" w:hAnsi="Times New Roman"/>
          <w:spacing w:val="-12"/>
          <w:sz w:val="26"/>
        </w:rPr>
        <w:t> </w:t>
      </w:r>
      <w:r>
        <w:rPr>
          <w:rFonts w:ascii="Times New Roman" w:hAnsi="Times New Roman"/>
          <w:sz w:val="26"/>
        </w:rPr>
        <w:t>Madeo</w:t>
      </w:r>
      <w:r>
        <w:rPr>
          <w:rFonts w:ascii="Times New Roman" w:hAnsi="Times New Roman"/>
          <w:spacing w:val="-12"/>
          <w:sz w:val="26"/>
        </w:rPr>
        <w:t> </w:t>
      </w:r>
      <w:r>
        <w:rPr>
          <w:rFonts w:ascii="Times New Roman" w:hAnsi="Times New Roman"/>
          <w:sz w:val="26"/>
        </w:rPr>
        <w:t>–</w:t>
      </w:r>
      <w:r>
        <w:rPr>
          <w:rFonts w:ascii="Times New Roman" w:hAnsi="Times New Roman"/>
          <w:spacing w:val="-12"/>
          <w:sz w:val="26"/>
        </w:rPr>
        <w:t> </w:t>
      </w:r>
      <w:r>
        <w:rPr>
          <w:rFonts w:ascii="Times New Roman" w:hAnsi="Times New Roman"/>
          <w:sz w:val="26"/>
        </w:rPr>
        <w:t>Fdi Francesco</w:t>
      </w:r>
      <w:r>
        <w:rPr>
          <w:rFonts w:ascii="Times New Roman" w:hAnsi="Times New Roman"/>
          <w:spacing w:val="-11"/>
          <w:sz w:val="26"/>
        </w:rPr>
        <w:t> </w:t>
      </w:r>
      <w:r>
        <w:rPr>
          <w:rFonts w:ascii="Times New Roman" w:hAnsi="Times New Roman"/>
          <w:sz w:val="26"/>
        </w:rPr>
        <w:t>Rendine</w:t>
      </w:r>
      <w:r>
        <w:rPr>
          <w:rFonts w:ascii="Times New Roman" w:hAnsi="Times New Roman"/>
          <w:spacing w:val="-11"/>
          <w:sz w:val="26"/>
        </w:rPr>
        <w:t> </w:t>
      </w:r>
      <w:r>
        <w:rPr>
          <w:rFonts w:ascii="Times New Roman" w:hAnsi="Times New Roman"/>
          <w:sz w:val="26"/>
        </w:rPr>
        <w:t>–</w:t>
      </w:r>
      <w:r>
        <w:rPr>
          <w:rFonts w:ascii="Times New Roman" w:hAnsi="Times New Roman"/>
          <w:spacing w:val="-14"/>
          <w:sz w:val="26"/>
        </w:rPr>
        <w:t> </w:t>
      </w:r>
      <w:r>
        <w:rPr>
          <w:rFonts w:ascii="Times New Roman" w:hAnsi="Times New Roman"/>
          <w:sz w:val="26"/>
        </w:rPr>
        <w:t>Afs Stefano Perelli – Lega Diletta D’andrea – Fi</w:t>
      </w:r>
    </w:p>
    <w:sectPr>
      <w:pgSz w:w="11900" w:h="16840"/>
      <w:pgMar w:top="880" w:bottom="280" w:left="992" w:right="141"/>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Courier New">
    <w:altName w:val="Courier New"/>
    <w:charset w:val="1"/>
    <w:family w:val="modern"/>
    <w:pitch w:val="default"/>
  </w:font>
  <w:font w:name="Arial">
    <w:altName w:val="Arial"/>
    <w:charset w:val="1"/>
    <w:family w:val="swiss"/>
    <w:pitch w:val="variable"/>
  </w:font>
  <w:font w:name="Arial MT">
    <w:altName w:val="Arial MT"/>
    <w:charset w:val="1"/>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MT" w:hAnsi="Arial MT" w:eastAsia="Arial MT" w:cs="Arial MT"/>
      <w:lang w:val="it-IT" w:eastAsia="en-US" w:bidi="ar-SA"/>
    </w:rPr>
  </w:style>
  <w:style w:styleId="BodyText" w:type="paragraph">
    <w:name w:val="Body Text"/>
    <w:basedOn w:val="Normal"/>
    <w:uiPriority w:val="1"/>
    <w:qFormat/>
    <w:pPr/>
    <w:rPr>
      <w:rFonts w:ascii="Arial MT" w:hAnsi="Arial MT" w:eastAsia="Arial MT" w:cs="Arial MT"/>
      <w:sz w:val="28"/>
      <w:szCs w:val="28"/>
      <w:lang w:val="it-IT" w:eastAsia="en-US" w:bidi="ar-SA"/>
    </w:rPr>
  </w:style>
  <w:style w:styleId="Heading1" w:type="paragraph">
    <w:name w:val="Heading 1"/>
    <w:basedOn w:val="Normal"/>
    <w:uiPriority w:val="1"/>
    <w:qFormat/>
    <w:pPr>
      <w:ind w:right="848"/>
      <w:jc w:val="center"/>
      <w:outlineLvl w:val="1"/>
    </w:pPr>
    <w:rPr>
      <w:rFonts w:ascii="Arial" w:hAnsi="Arial" w:eastAsia="Arial" w:cs="Arial"/>
      <w:b/>
      <w:bCs/>
      <w:sz w:val="28"/>
      <w:szCs w:val="28"/>
      <w:lang w:val="it-IT" w:eastAsia="en-US" w:bidi="ar-SA"/>
    </w:rPr>
  </w:style>
  <w:style w:styleId="ListParagraph" w:type="paragraph">
    <w:name w:val="List Paragraph"/>
    <w:basedOn w:val="Normal"/>
    <w:uiPriority w:val="1"/>
    <w:qFormat/>
    <w:pPr/>
    <w:rPr>
      <w:lang w:val="it-IT" w:eastAsia="en-US" w:bidi="ar-SA"/>
    </w:rPr>
  </w:style>
  <w:style w:styleId="TableParagraph" w:type="paragraph">
    <w:name w:val="Table Paragraph"/>
    <w:basedOn w:val="Normal"/>
    <w:uiPriority w:val="1"/>
    <w:qFormat/>
    <w:pPr>
      <w:spacing w:before="14"/>
      <w:ind w:left="40"/>
    </w:pPr>
    <w:rPr>
      <w:rFonts w:ascii="Courier New" w:hAnsi="Courier New" w:eastAsia="Courier New" w:cs="Courier New"/>
      <w:lang w:val="it-I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m.vicentini</dc:creator>
  <dc:title>Risoluzione Petrolchimico</dc:title>
  <dcterms:created xsi:type="dcterms:W3CDTF">2025-10-27T14:27:41Z</dcterms:created>
  <dcterms:modified xsi:type="dcterms:W3CDTF">2025-10-27T14:27:41Z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2025-10-27T00:00:00Z</vt:filetime>
  </property>
  <property fmtid="{D5CDD505-2E9C-101B-9397-08002B2CF9AE}" pid="3" name="Creator">
    <vt:lpwstr>PDFCreator Free 4.0.4</vt:lpwstr>
  </property>
  <property fmtid="{D5CDD505-2E9C-101B-9397-08002B2CF9AE}" pid="4" name="LastSaved">
    <vt:filetime>2025-10-27T00:00:00Z</vt:filetime>
  </property>
  <property fmtid="{D5CDD505-2E9C-101B-9397-08002B2CF9AE}" pid="5" name="Producer">
    <vt:lpwstr>GPL Ghostscript 9.50</vt:lpwstr>
  </property>
</Properties>
</file>